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i/>
          <w:color w:val="666666"/>
          <w:sz w:val="18"/>
          <w:szCs w:val="18"/>
        </w:rPr>
        <w:t xml:space="preserve">Általános, tájékoztató jellegű minta, amely nem minősül jogi tanácsadásnak. Használat előtt igazítsa a saját helyzetéhez, és kérje jogász vagy szakember véleményét. A szögletes zárójelben lévő részeket töltse ki.</w:t>
      </w:r>
    </w:p>
    <w:p>
      <w:pPr>
        <w:jc w:val="center"/>
        <w:spacing w:before="240" w:after="240"/>
      </w:pPr>
      <w:r>
        <w:rPr>
          <w:b/>
          <w:sz w:val="32"/>
          <w:szCs w:val="32"/>
        </w:rPr>
        <w:t xml:space="preserve">TITOKTARTÁSI MEGÁLLAPODÁS</w:t>
      </w:r>
    </w:p>
    <w:p>
      <w:pPr>
        <w:jc w:val="both"/>
      </w:pPr>
      <w:r>
        <w:rPr/>
        <w:t xml:space="preserve">amely létrejött egyrészről</w:t>
      </w:r>
    </w:p>
    <w:tbl>
      <w:tblPr>
        <w:tblW w:w="9000" w:type="dxa"/>
        <w:tblBorders>
          <w:top w:val="single" w:sz="4" w:color="999999"/>
          <w:left w:val="single" w:sz="4" w:color="999999"/>
          <w:bottom w:val="single" w:sz="4" w:color="999999"/>
          <w:right w:val="single" w:sz="4" w:color="999999"/>
          <w:insideH w:val="single" w:sz="4" w:color="BBBBBB"/>
          <w:insideV w:val="single" w:sz="4" w:color="BBBBBB"/>
        </w:tblBorders>
        <w:tblCellMar>
          <w:top w:w="60" w:type="dxa"/>
          <w:left w:w="100" w:type="dxa"/>
          <w:bottom w:w="60" w:type="dxa"/>
          <w:right w:w="100" w:type="dxa"/>
        </w:tblCellMar>
      </w:tblPr>
      <w:tblGrid>
        <w:gridCol w:w="3000"/>
        <w:gridCol w:w="6000"/>
      </w:tblGrid>
      <w:tr>
        <w:tc>
          <w:tcPr>
            <w:tcW w:w="3000" w:type="dxa"/>
          </w:tcPr>
          <w:p>
            <w:pPr/>
            <w:r>
              <w:rPr>
                <w:b/>
              </w:rPr>
              <w:t xml:space="preserve">Név / cégnév</w:t>
            </w:r>
          </w:p>
        </w:tc>
        <w:tc>
          <w:tcPr>
            <w:tcW w:w="6000" w:type="dxa"/>
          </w:tcPr>
          <w:p>
            <w:pPr/>
            <w:r>
              <w:rPr>
                <w:highlight w:val="yellow"/>
              </w:rPr>
              <w:t xml:space="preserve">[cégnév]</w:t>
            </w:r>
          </w:p>
        </w:tc>
      </w:tr>
      <w:tr>
        <w:tc>
          <w:tcPr>
            <w:tcW w:w="3000" w:type="dxa"/>
          </w:tcPr>
          <w:p>
            <w:pPr/>
            <w:r>
              <w:rPr>
                <w:b/>
              </w:rPr>
              <w:t xml:space="preserve">Székhely</w:t>
            </w:r>
          </w:p>
        </w:tc>
        <w:tc>
          <w:tcPr>
            <w:tcW w:w="6000" w:type="dxa"/>
          </w:tcPr>
          <w:p>
            <w:pPr/>
            <w:r>
              <w:rPr>
                <w:highlight w:val="yellow"/>
              </w:rPr>
              <w:t xml:space="preserve">[cím]</w:t>
            </w:r>
          </w:p>
        </w:tc>
      </w:tr>
      <w:tr>
        <w:tc>
          <w:tcPr>
            <w:tcW w:w="3000" w:type="dxa"/>
          </w:tcPr>
          <w:p>
            <w:pPr/>
            <w:r>
              <w:rPr>
                <w:b/>
              </w:rPr>
              <w:t xml:space="preserve">Cégjegyzékszám / adószám</w:t>
            </w:r>
          </w:p>
        </w:tc>
        <w:tc>
          <w:tcPr>
            <w:tcW w:w="6000" w:type="dxa"/>
          </w:tcPr>
          <w:p>
            <w:pPr/>
            <w:r>
              <w:rPr>
                <w:highlight w:val="yellow"/>
              </w:rPr>
              <w:t xml:space="preserve">[cégjegyzékszám]</w:t>
            </w:r>
            <w:r>
              <w:rPr/>
              <w:t xml:space="preserve"> / </w:t>
            </w:r>
            <w:r>
              <w:rPr>
                <w:highlight w:val="yellow"/>
              </w:rPr>
              <w:t xml:space="preserve">[adószám]</w:t>
            </w:r>
          </w:p>
        </w:tc>
      </w:tr>
      <w:tr>
        <w:tc>
          <w:tcPr>
            <w:tcW w:w="3000" w:type="dxa"/>
          </w:tcPr>
          <w:p>
            <w:pPr/>
            <w:r>
              <w:rPr>
                <w:b/>
              </w:rPr>
              <w:t xml:space="preserve">Képviseli</w:t>
            </w:r>
          </w:p>
        </w:tc>
        <w:tc>
          <w:tcPr>
            <w:tcW w:w="6000" w:type="dxa"/>
          </w:tcPr>
          <w:p>
            <w:pPr/>
            <w:r>
              <w:rPr>
                <w:highlight w:val="yellow"/>
              </w:rPr>
              <w:t xml:space="preserve">[név, beosztás]</w:t>
            </w:r>
          </w:p>
        </w:tc>
      </w:tr>
    </w:tbl>
    <w:p>
      <w:pPr/>
    </w:p>
    <w:p>
      <w:pPr>
        <w:jc w:val="both"/>
      </w:pPr>
      <w:r>
        <w:rPr/>
        <w:t xml:space="preserve">másrészről</w:t>
      </w:r>
    </w:p>
    <w:tbl>
      <w:tblPr>
        <w:tblW w:w="9000" w:type="dxa"/>
        <w:tblBorders>
          <w:top w:val="single" w:sz="4" w:color="999999"/>
          <w:left w:val="single" w:sz="4" w:color="999999"/>
          <w:bottom w:val="single" w:sz="4" w:color="999999"/>
          <w:right w:val="single" w:sz="4" w:color="999999"/>
          <w:insideH w:val="single" w:sz="4" w:color="BBBBBB"/>
          <w:insideV w:val="single" w:sz="4" w:color="BBBBBB"/>
        </w:tblBorders>
        <w:tblCellMar>
          <w:top w:w="60" w:type="dxa"/>
          <w:left w:w="100" w:type="dxa"/>
          <w:bottom w:w="60" w:type="dxa"/>
          <w:right w:w="100" w:type="dxa"/>
        </w:tblCellMar>
      </w:tblPr>
      <w:tblGrid>
        <w:gridCol w:w="3000"/>
        <w:gridCol w:w="6000"/>
      </w:tblGrid>
      <w:tr>
        <w:tc>
          <w:tcPr>
            <w:tcW w:w="3000" w:type="dxa"/>
          </w:tcPr>
          <w:p>
            <w:pPr/>
            <w:r>
              <w:rPr>
                <w:b/>
              </w:rPr>
              <w:t xml:space="preserve">Név / cégnév</w:t>
            </w:r>
          </w:p>
        </w:tc>
        <w:tc>
          <w:tcPr>
            <w:tcW w:w="6000" w:type="dxa"/>
          </w:tcPr>
          <w:p>
            <w:pPr/>
            <w:r>
              <w:rPr>
                <w:highlight w:val="yellow"/>
              </w:rPr>
              <w:t xml:space="preserve">[cégnév]</w:t>
            </w:r>
          </w:p>
        </w:tc>
      </w:tr>
      <w:tr>
        <w:tc>
          <w:tcPr>
            <w:tcW w:w="3000" w:type="dxa"/>
          </w:tcPr>
          <w:p>
            <w:pPr/>
            <w:r>
              <w:rPr>
                <w:b/>
              </w:rPr>
              <w:t xml:space="preserve">Székhely</w:t>
            </w:r>
          </w:p>
        </w:tc>
        <w:tc>
          <w:tcPr>
            <w:tcW w:w="6000" w:type="dxa"/>
          </w:tcPr>
          <w:p>
            <w:pPr/>
            <w:r>
              <w:rPr>
                <w:highlight w:val="yellow"/>
              </w:rPr>
              <w:t xml:space="preserve">[cím]</w:t>
            </w:r>
          </w:p>
        </w:tc>
      </w:tr>
      <w:tr>
        <w:tc>
          <w:tcPr>
            <w:tcW w:w="3000" w:type="dxa"/>
          </w:tcPr>
          <w:p>
            <w:pPr/>
            <w:r>
              <w:rPr>
                <w:b/>
              </w:rPr>
              <w:t xml:space="preserve">Cégjegyzékszám / adószám</w:t>
            </w:r>
          </w:p>
        </w:tc>
        <w:tc>
          <w:tcPr>
            <w:tcW w:w="6000" w:type="dxa"/>
          </w:tcPr>
          <w:p>
            <w:pPr/>
            <w:r>
              <w:rPr>
                <w:highlight w:val="yellow"/>
              </w:rPr>
              <w:t xml:space="preserve">[cégjegyzékszám]</w:t>
            </w:r>
            <w:r>
              <w:rPr/>
              <w:t xml:space="preserve"> / </w:t>
            </w:r>
            <w:r>
              <w:rPr>
                <w:highlight w:val="yellow"/>
              </w:rPr>
              <w:t xml:space="preserve">[adószám]</w:t>
            </w:r>
          </w:p>
        </w:tc>
      </w:tr>
      <w:tr>
        <w:tc>
          <w:tcPr>
            <w:tcW w:w="3000" w:type="dxa"/>
          </w:tcPr>
          <w:p>
            <w:pPr/>
            <w:r>
              <w:rPr>
                <w:b/>
              </w:rPr>
              <w:t xml:space="preserve">Képviseli</w:t>
            </w:r>
          </w:p>
        </w:tc>
        <w:tc>
          <w:tcPr>
            <w:tcW w:w="6000" w:type="dxa"/>
          </w:tcPr>
          <w:p>
            <w:pPr/>
            <w:r>
              <w:rPr>
                <w:highlight w:val="yellow"/>
              </w:rPr>
              <w:t xml:space="preserve">[név, beosztás]</w:t>
            </w:r>
          </w:p>
        </w:tc>
      </w:tr>
    </w:tbl>
    <w:p>
      <w:pPr/>
    </w:p>
    <w:p>
      <w:pPr>
        <w:jc w:val="both"/>
      </w:pPr>
      <w:r>
        <w:rPr/>
        <w:t xml:space="preserve">(együtt: Felek, külön-külön: Fél) között, az alábbi feltételekkel.</w:t>
      </w:r>
    </w:p>
    <w:p>
      <w:pPr>
        <w:keepNext/>
        <w:spacing w:before="240" w:after="100"/>
      </w:pPr>
      <w:r>
        <w:rPr>
          <w:b/>
          <w:sz w:val="24"/>
          <w:szCs w:val="24"/>
        </w:rPr>
        <w:t xml:space="preserve">1. A megállapodás célja</w:t>
      </w:r>
    </w:p>
    <w:p>
      <w:pPr>
        <w:tabs>
          <w:tab w:val="left" w:pos="640"/>
        </w:tabs>
        <w:ind w:left="640" w:hanging="640"/>
        <w:jc w:val="both"/>
      </w:pPr>
      <w:r>
        <w:rPr>
          <w:b/>
        </w:rPr>
        <w:t xml:space="preserve">1.1.	</w:t>
      </w:r>
      <w:r>
        <w:rPr/>
        <w:t xml:space="preserve">A Felek </w:t>
      </w:r>
      <w:r>
        <w:rPr>
          <w:highlight w:val="yellow"/>
        </w:rPr>
        <w:t xml:space="preserve">[a lehetséges együttműködés, szerződéskötés vagy projekt rövid megnevezése]</w:t>
      </w:r>
      <w:r>
        <w:rPr/>
        <w:t xml:space="preserve"> megvitatása és előkészítése céljából (a továbbiakban: Cél) egymásnak bizalmas információkat adhatnak át. A jelen megállapodás ezek védelmét szabályozza.</w:t>
      </w:r>
    </w:p>
    <w:p>
      <w:pPr>
        <w:keepNext/>
        <w:spacing w:before="240" w:after="100"/>
      </w:pPr>
      <w:r>
        <w:rPr>
          <w:b/>
          <w:sz w:val="24"/>
          <w:szCs w:val="24"/>
        </w:rPr>
        <w:t xml:space="preserve">2. A bizalmas információ</w:t>
      </w:r>
    </w:p>
    <w:p>
      <w:pPr>
        <w:tabs>
          <w:tab w:val="left" w:pos="640"/>
        </w:tabs>
        <w:ind w:left="640" w:hanging="640"/>
        <w:jc w:val="both"/>
      </w:pPr>
      <w:r>
        <w:rPr>
          <w:b/>
        </w:rPr>
        <w:t xml:space="preserve">2.1.	</w:t>
      </w:r>
      <w:r>
        <w:rPr/>
        <w:t xml:space="preserve">Bizalmas információ minden olyan információ, adat, dokumentum vagy tudás, amelyet az egyik Fél (Átadó) a Cél érdekében a másik Félnek (Átvevő) írásban, szóban, elektronikusan vagy egyéb módon átad, és amelyet az Átadó bizalmasnak jelöl, vagy amelyről az Átvevő a körülmények alapján észszerűen felismerheti, hogy bizalmas.</w:t>
      </w:r>
    </w:p>
    <w:p>
      <w:pPr>
        <w:tabs>
          <w:tab w:val="left" w:pos="640"/>
        </w:tabs>
        <w:ind w:left="640" w:hanging="640"/>
        <w:jc w:val="both"/>
      </w:pPr>
      <w:r>
        <w:rPr>
          <w:b/>
        </w:rPr>
        <w:t xml:space="preserve">2.2.	</w:t>
      </w:r>
      <w:r>
        <w:rPr/>
        <w:t xml:space="preserve">Bizalmas információnak minősül különösen: az üzleti és pénzügyi terv, az ügyféllista, az árképzés, a módszertan, a forráskód és a technológiai megoldások, valamint minden olyan adat, amely az üzleti titokról szóló 2018. évi LIV. törvény szerint üzleti titoknak minősül.</w:t>
      </w:r>
    </w:p>
    <w:p>
      <w:pPr>
        <w:tabs>
          <w:tab w:val="left" w:pos="640"/>
        </w:tabs>
        <w:ind w:left="640" w:hanging="640"/>
        <w:jc w:val="both"/>
      </w:pPr>
      <w:r>
        <w:rPr>
          <w:b/>
        </w:rPr>
        <w:t xml:space="preserve">2.3.	</w:t>
      </w:r>
      <w:r>
        <w:rPr/>
        <w:t xml:space="preserve">Nem minősül bizalmas információnak az, amely (a) az Átvevő hibájából függetlenül nyilvánosan hozzáférhető vagy azzá válik, (b) az Átvevő birtokában már az átadás előtt jogszerűen volt, (c) harmadik féltől jogszerűen, titoktartási kötelezettség nélkül került az Átvevőhöz, (d) az Átvevő a bizalmas információ felhasználása nélkül, önállóan fejlesztett ki.</w:t>
      </w:r>
    </w:p>
    <w:p>
      <w:pPr>
        <w:keepNext/>
        <w:spacing w:before="240" w:after="100"/>
      </w:pPr>
      <w:r>
        <w:rPr>
          <w:b/>
          <w:sz w:val="24"/>
          <w:szCs w:val="24"/>
        </w:rPr>
        <w:t xml:space="preserve">3. A titoktartási kötelezettség</w:t>
      </w:r>
    </w:p>
    <w:p>
      <w:pPr>
        <w:tabs>
          <w:tab w:val="left" w:pos="640"/>
        </w:tabs>
        <w:ind w:left="640" w:hanging="640"/>
        <w:jc w:val="both"/>
      </w:pPr>
      <w:r>
        <w:rPr>
          <w:b/>
        </w:rPr>
        <w:t xml:space="preserve">3.1.	</w:t>
      </w:r>
      <w:r>
        <w:rPr/>
        <w:t xml:space="preserve">Az Átvevő köteles a bizalmas információt titokban tartani, azt kizárólag a Cél érdekében felhasználni, és harmadik személy számára hozzáférhetővé nem tenni.</w:t>
      </w:r>
    </w:p>
    <w:p>
      <w:pPr>
        <w:tabs>
          <w:tab w:val="left" w:pos="640"/>
        </w:tabs>
        <w:ind w:left="640" w:hanging="640"/>
        <w:jc w:val="both"/>
      </w:pPr>
      <w:r>
        <w:rPr>
          <w:b/>
        </w:rPr>
        <w:t xml:space="preserve">3.2.	</w:t>
      </w:r>
      <w:r>
        <w:rPr/>
        <w:t xml:space="preserve">Az Átvevő a bizalmas információt csak azokkal a munkatársaival, megbízottaival és tanácsadóival oszthatja meg, akiknek arra a Cél érdekében szükségük van, és akik legalább ezzel egyenértékű titoktartási kötelezettséggel tartoznak. Az Átvevő felel ezek jogsértéséért.</w:t>
      </w:r>
    </w:p>
    <w:p>
      <w:pPr>
        <w:tabs>
          <w:tab w:val="left" w:pos="640"/>
        </w:tabs>
        <w:ind w:left="640" w:hanging="640"/>
        <w:jc w:val="both"/>
      </w:pPr>
      <w:r>
        <w:rPr>
          <w:b/>
        </w:rPr>
        <w:t xml:space="preserve">3.3.	</w:t>
      </w:r>
      <w:r>
        <w:rPr/>
        <w:t xml:space="preserve">Ha jogszabály vagy hatóság az információ kiadására kötelezi az Átvevőt, azt köteles az Átadót a lehetőségekhez képest előre értesíteni, és csak a kötelező mértékben kiadni.</w:t>
      </w:r>
    </w:p>
    <w:p>
      <w:pPr>
        <w:keepNext/>
        <w:spacing w:before="240" w:after="100"/>
      </w:pPr>
      <w:r>
        <w:rPr>
          <w:b/>
          <w:sz w:val="24"/>
          <w:szCs w:val="24"/>
        </w:rPr>
        <w:t xml:space="preserve">4. Védelmi intézkedések</w:t>
      </w:r>
    </w:p>
    <w:p>
      <w:pPr>
        <w:tabs>
          <w:tab w:val="left" w:pos="640"/>
        </w:tabs>
        <w:ind w:left="640" w:hanging="640"/>
        <w:jc w:val="both"/>
      </w:pPr>
      <w:r>
        <w:rPr>
          <w:b/>
        </w:rPr>
        <w:t xml:space="preserve">4.1.	</w:t>
      </w:r>
      <w:r>
        <w:rPr/>
        <w:t xml:space="preserve">Az Átvevő a bizalmas információt a saját hasonló jellegű információival azonos, de legalább észszerű gondossággal védi, és megteszi a jogosulatlan hozzáférés megakadályozásához szükséges technikai és szervezési intézkedéseket.</w:t>
      </w:r>
    </w:p>
    <w:p>
      <w:pPr>
        <w:tabs>
          <w:tab w:val="left" w:pos="640"/>
        </w:tabs>
        <w:ind w:left="640" w:hanging="640"/>
        <w:jc w:val="both"/>
      </w:pPr>
      <w:r>
        <w:rPr>
          <w:b/>
        </w:rPr>
        <w:t xml:space="preserve">4.2.	</w:t>
      </w:r>
      <w:r>
        <w:rPr/>
        <w:t xml:space="preserve">Az Átvevő a bizalmas információ jogosulatlan hozzáféréséről vagy közléséről az Átadót haladéktalanul értesíti.</w:t>
      </w:r>
    </w:p>
    <w:p>
      <w:pPr>
        <w:keepNext/>
        <w:spacing w:before="240" w:after="100"/>
      </w:pPr>
      <w:r>
        <w:rPr>
          <w:b/>
          <w:sz w:val="24"/>
          <w:szCs w:val="24"/>
        </w:rPr>
        <w:t xml:space="preserve">5. Időtartam</w:t>
      </w:r>
    </w:p>
    <w:p>
      <w:pPr>
        <w:tabs>
          <w:tab w:val="left" w:pos="640"/>
        </w:tabs>
        <w:ind w:left="640" w:hanging="640"/>
        <w:jc w:val="both"/>
      </w:pPr>
      <w:r>
        <w:rPr>
          <w:b/>
        </w:rPr>
        <w:t xml:space="preserve">5.1.	</w:t>
      </w:r>
      <w:r>
        <w:rPr/>
        <w:t xml:space="preserve">A megállapodás az aláírás napján lép hatályba, és </w:t>
      </w:r>
      <w:r>
        <w:rPr>
          <w:highlight w:val="yellow"/>
        </w:rPr>
        <w:t xml:space="preserve">[2]</w:t>
      </w:r>
      <w:r>
        <w:rPr/>
        <w:t xml:space="preserve"> évig hatályos. A titoktartási kötelezettség a hatály lejártát vagy a megállapodás megszűnését követően még </w:t>
      </w:r>
      <w:r>
        <w:rPr>
          <w:highlight w:val="yellow"/>
        </w:rPr>
        <w:t xml:space="preserve">[3]</w:t>
      </w:r>
      <w:r>
        <w:rPr/>
        <w:t xml:space="preserve"> évig fennmarad. Az üzleti titoknak minősülő információra a titoktartás addig áll fenn, amíg az információ üzleti titoknak minősül.</w:t>
      </w:r>
    </w:p>
    <w:p>
      <w:pPr>
        <w:keepNext/>
        <w:spacing w:before="240" w:after="100"/>
      </w:pPr>
      <w:r>
        <w:rPr>
          <w:b/>
          <w:sz w:val="24"/>
          <w:szCs w:val="24"/>
        </w:rPr>
        <w:t xml:space="preserve">6. Visszaadás és megsemmisítés</w:t>
      </w:r>
    </w:p>
    <w:p>
      <w:pPr>
        <w:tabs>
          <w:tab w:val="left" w:pos="640"/>
        </w:tabs>
        <w:ind w:left="640" w:hanging="640"/>
        <w:jc w:val="both"/>
      </w:pPr>
      <w:r>
        <w:rPr>
          <w:b/>
        </w:rPr>
        <w:t xml:space="preserve">6.1.	</w:t>
      </w:r>
      <w:r>
        <w:rPr/>
        <w:t xml:space="preserve">Az Átadó írásbeli kérésére az Átvevő </w:t>
      </w:r>
      <w:r>
        <w:rPr>
          <w:highlight w:val="yellow"/>
        </w:rPr>
        <w:t xml:space="preserve">[8]</w:t>
      </w:r>
      <w:r>
        <w:rPr/>
        <w:t xml:space="preserve"> napon belül visszaadja vagy megsemmisíti a bizalmas információt tartalmazó dokumentumokat és adathordozókat, és ezt írásban megerősíti. Az Átvevő a jogszabály által előírt vagy biztonsági mentésben megőrzött másolatokat tarthatja meg, amelyekre a titoktartás továbbra is vonatkozik.</w:t>
      </w:r>
    </w:p>
    <w:p>
      <w:pPr>
        <w:keepNext/>
        <w:spacing w:before="240" w:after="100"/>
      </w:pPr>
      <w:r>
        <w:rPr>
          <w:b/>
          <w:sz w:val="24"/>
          <w:szCs w:val="24"/>
        </w:rPr>
        <w:t xml:space="preserve">7. Szerződésszegés</w:t>
      </w:r>
    </w:p>
    <w:p>
      <w:pPr>
        <w:tabs>
          <w:tab w:val="left" w:pos="640"/>
        </w:tabs>
        <w:ind w:left="640" w:hanging="640"/>
        <w:jc w:val="both"/>
      </w:pPr>
      <w:r>
        <w:rPr>
          <w:b/>
        </w:rPr>
        <w:t xml:space="preserve">7.1.	</w:t>
      </w:r>
      <w:r>
        <w:rPr/>
        <w:t xml:space="preserve">A titoktartási kötelezettség megszegése esetén a szerződésszegő Fél köteles megtéríteni a másik Félnek okozott kárt. </w:t>
      </w:r>
      <w:r>
        <w:rPr>
          <w:highlight w:val="yellow"/>
        </w:rPr>
        <w:t xml:space="preserve">[Opcionális: a Felek a titoktartás megszegése esetére [összeg]</w:t>
      </w:r>
      <w:r>
        <w:rPr/>
        <w:t xml:space="preserve"> Ft kötbért kötnek ki, amely a kártérítésbe beszámít.]</w:t>
      </w:r>
    </w:p>
    <w:p>
      <w:pPr>
        <w:keepNext/>
        <w:spacing w:before="240" w:after="100"/>
      </w:pPr>
      <w:r>
        <w:rPr>
          <w:b/>
          <w:sz w:val="24"/>
          <w:szCs w:val="24"/>
        </w:rPr>
        <w:t xml:space="preserve">8. Egyéb rendelkezések</w:t>
      </w:r>
    </w:p>
    <w:p>
      <w:pPr>
        <w:tabs>
          <w:tab w:val="left" w:pos="640"/>
        </w:tabs>
        <w:ind w:left="640" w:hanging="640"/>
        <w:jc w:val="both"/>
      </w:pPr>
      <w:r>
        <w:rPr>
          <w:b/>
        </w:rPr>
        <w:t xml:space="preserve">8.1.	</w:t>
      </w:r>
      <w:r>
        <w:rPr/>
        <w:t xml:space="preserve">A megállapodás nem keletkeztet a Felek között üzleti kapcsolatot, nem kötelezi őket szerződéskötésre, és nem ad az Átvevőnek licencet vagy más jogot a bizalmas információra.</w:t>
      </w:r>
    </w:p>
    <w:p>
      <w:pPr>
        <w:tabs>
          <w:tab w:val="left" w:pos="640"/>
        </w:tabs>
        <w:ind w:left="640" w:hanging="640"/>
        <w:jc w:val="both"/>
      </w:pPr>
      <w:r>
        <w:rPr>
          <w:b/>
        </w:rPr>
        <w:t xml:space="preserve">8.2.	</w:t>
      </w:r>
      <w:r>
        <w:rPr/>
        <w:t xml:space="preserve">A megállapodás módosítása és megszüntetése csak írásban érvényes. A Felekre a magyar jog, különösen a Polgári Törvénykönyvről szóló 2013. évi V. törvény irányadó.</w:t>
      </w:r>
    </w:p>
    <w:p>
      <w:pPr>
        <w:tabs>
          <w:tab w:val="left" w:pos="640"/>
        </w:tabs>
        <w:ind w:left="640" w:hanging="640"/>
        <w:jc w:val="both"/>
      </w:pPr>
      <w:r>
        <w:rPr>
          <w:b/>
        </w:rPr>
        <w:t xml:space="preserve">8.3.	</w:t>
      </w:r>
      <w:r>
        <w:rPr/>
        <w:t xml:space="preserve">A jogvitákat a Felek elsősorban tárgyalással rendezik. Ennek eredménytelensége esetén a </w:t>
      </w:r>
      <w:r>
        <w:rPr>
          <w:highlight w:val="yellow"/>
        </w:rPr>
        <w:t xml:space="preserve">[bíróság megnevezése]</w:t>
      </w:r>
      <w:r>
        <w:rPr/>
        <w:t xml:space="preserve"> kizárólagos illetékességét kötik ki.</w:t>
      </w:r>
    </w:p>
    <w:p>
      <w:pPr>
        <w:jc w:val="both"/>
      </w:pPr>
      <w:r>
        <w:rPr/>
        <w:t xml:space="preserve">Kelt: </w:t>
      </w:r>
      <w:r>
        <w:rPr>
          <w:highlight w:val="yellow"/>
        </w:rPr>
        <w:t xml:space="preserve">[település]</w:t>
      </w:r>
      <w:r>
        <w:rPr/>
        <w:t xml:space="preserve">, </w:t>
      </w:r>
      <w:r>
        <w:rPr>
          <w:highlight w:val="yellow"/>
        </w:rPr>
        <w:t xml:space="preserve">[év, hónap, nap]</w:t>
      </w:r>
    </w:p>
    <w:tbl>
      <w:tblPr>
        <w:tblW w:w="9000" w:type="dxa"/>
      </w:tblPr>
      <w:tblGrid>
        <w:gridCol w:w="4500"/>
        <w:gridCol w:w="4500"/>
      </w:tblGrid>
      <w:tr>
        <w:tc>
          <w:tcPr>
            <w:tcW w:w="4500" w:type="dxa"/>
          </w:tcPr>
          <w:p>
            <w:pPr>
              <w:spacing w:before="720"/>
            </w:pPr>
          </w:p>
          <w:p>
            <w:pPr>
              <w:jc w:val="center"/>
            </w:pPr>
            <w:r>
              <w:rPr/>
              <w:t xml:space="preserve">____________________________</w:t>
            </w:r>
          </w:p>
          <w:p>
            <w:pPr>
              <w:jc w:val="center"/>
            </w:pPr>
            <w:r>
              <w:rPr>
                <w:highlight w:val="yellow"/>
              </w:rPr>
              <w:t xml:space="preserve">[Fél 1 neve]</w:t>
            </w:r>
          </w:p>
        </w:tc>
        <w:tc>
          <w:tcPr>
            <w:tcW w:w="4500" w:type="dxa"/>
          </w:tcPr>
          <w:p>
            <w:pPr>
              <w:spacing w:before="720"/>
            </w:pPr>
          </w:p>
          <w:p>
            <w:pPr>
              <w:jc w:val="center"/>
            </w:pPr>
            <w:r>
              <w:rPr/>
              <w:t xml:space="preserve">____________________________</w:t>
            </w:r>
          </w:p>
          <w:p>
            <w:pPr>
              <w:jc w:val="center"/>
            </w:pPr>
            <w:r>
              <w:rPr>
                <w:highlight w:val="yellow"/>
              </w:rPr>
              <w:t xml:space="preserve">[Fél 2 neve]</w:t>
            </w:r>
          </w:p>
        </w:tc>
      </w:tr>
    </w:tbl>
    <w:p>
      <w:pPr/>
    </w:p>
    <w:p>
      <w:r>
        <w:br w:type="page"/>
      </w:r>
    </w:p>
    <w:p>
      <w:pPr>
        <w:keepNext/>
        <w:spacing w:before="240" w:after="100"/>
      </w:pPr>
      <w:r>
        <w:rPr>
          <w:b/>
          <w:sz w:val="24"/>
          <w:szCs w:val="24"/>
        </w:rPr>
        <w:t xml:space="preserve">Kitöltési megjegyzések (a végleges szerződésből törölhető)</w:t>
      </w:r>
    </w:p>
    <w:p>
      <w:pPr>
        <w:tabs>
          <w:tab w:val="left" w:pos="360"/>
        </w:tabs>
        <w:ind w:left="360" w:hanging="360"/>
        <w:jc w:val="both"/>
      </w:pPr>
      <w:r>
        <w:rPr/>
        <w:t xml:space="preserve">–	</w:t>
      </w:r>
      <w:r>
        <w:rPr/>
        <w:t xml:space="preserve">A minta kölcsönös titoktartást szabályoz. Ha csak az egyik Fél ad át információt, egyoldalúvá tehető: az Átadó és az Átvevő szerepét ennek megfelelően rögzítse.</w:t>
      </w:r>
    </w:p>
    <w:p>
      <w:pPr>
        <w:tabs>
          <w:tab w:val="left" w:pos="360"/>
        </w:tabs>
        <w:ind w:left="360" w:hanging="360"/>
        <w:jc w:val="both"/>
      </w:pPr>
      <w:r>
        <w:rPr/>
        <w:t xml:space="preserve">–	</w:t>
      </w:r>
      <w:r>
        <w:rPr/>
        <w:t xml:space="preserve">A bizalmas információ körét minél pontosabban írja le, mert a túl tág vagy bizonytalan meghatározás vitát okozhat.</w:t>
      </w:r>
    </w:p>
    <w:p>
      <w:pPr>
        <w:tabs>
          <w:tab w:val="left" w:pos="360"/>
        </w:tabs>
        <w:ind w:left="360" w:hanging="360"/>
        <w:jc w:val="both"/>
      </w:pPr>
      <w:r>
        <w:rPr/>
        <w:t xml:space="preserve">–	</w:t>
      </w:r>
      <w:r>
        <w:rPr/>
        <w:t xml:space="preserve">A kötbér összegét ésszerűen állapítsa meg. A bíróság a feltűnően aránytalanul magas kötbért mérsékelheti.</w:t>
      </w:r>
    </w:p>
    <w:p>
      <w:pPr>
        <w:tabs>
          <w:tab w:val="left" w:pos="360"/>
        </w:tabs>
        <w:ind w:left="360" w:hanging="360"/>
        <w:jc w:val="both"/>
      </w:pPr>
      <w:r>
        <w:rPr/>
        <w:t xml:space="preserve">–	</w:t>
      </w:r>
      <w:r>
        <w:rPr/>
        <w:t xml:space="preserve">Ha személyes adatok is átadásra kerülnek, ellenőrizze a GDPR szerinti adatvédelmi követelményeket.</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szCs w:val="22"/>
        <w:lang w:val="hu-HU"/>
      </w:rPr>
    </w:rPrDefault>
    <w:pPrDefault>
      <w:pPr>
        <w:spacing w:after="120" w:line="264"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