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i/>
          <w:color w:val="666666"/>
          <w:sz w:val="18"/>
          <w:szCs w:val="18"/>
        </w:rPr>
        <w:t xml:space="preserve">Általános, tájékoztató jellegű minta, amely nem minősül jogi tanácsadásnak. Használat előtt igazítsa a saját helyzetéhez, és kérje jogász vagy szakember véleményét. A szögletes zárójelben lévő részeket töltse ki.</w:t>
      </w:r>
    </w:p>
    <w:p>
      <w:pPr>
        <w:jc w:val="center"/>
        <w:spacing w:before="240" w:after="240"/>
      </w:pPr>
      <w:r>
        <w:rPr>
          <w:b/>
          <w:sz w:val="32"/>
          <w:szCs w:val="32"/>
        </w:rPr>
        <w:t xml:space="preserve">MUNKASZERZŐDÉS</w:t>
      </w:r>
    </w:p>
    <w:p>
      <w:pPr>
        <w:jc w:val="both"/>
      </w:pPr>
      <w:r>
        <w:rPr/>
        <w:t xml:space="preserve">amely létrejött egyrészről</w:t>
      </w:r>
    </w:p>
    <w:tbl>
      <w:tblPr>
        <w:tblW w:w="90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BBBBBB"/>
          <w:insideV w:val="single" w:sz="4" w:color="BBBBBB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6000"/>
      </w:tblGrid>
      <w:tr>
        <w:tc>
          <w:tcPr>
            <w:tcW w:w="3000" w:type="dxa"/>
          </w:tcPr>
          <w:p>
            <w:pPr/>
            <w:r>
              <w:rPr>
                <w:b/>
              </w:rPr>
              <w:t xml:space="preserve">Munkáltató neve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[cégnév]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Székhely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[irányítószám, település, utca, házszám]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Cégjegyzékszám / adószám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[cégjegyzékszám]</w:t>
            </w:r>
            <w:r>
              <w:rPr/>
              <w:t xml:space="preserve"> / </w:t>
            </w:r>
            <w:r>
              <w:rPr>
                <w:highlight w:val="yellow"/>
              </w:rPr>
              <w:t xml:space="preserve">[adószám]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Képviseli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[név, beosztás]</w:t>
            </w:r>
          </w:p>
        </w:tc>
      </w:tr>
    </w:tbl>
    <w:p>
      <w:pPr/>
    </w:p>
    <w:p>
      <w:pPr>
        <w:jc w:val="both"/>
      </w:pPr>
      <w:r>
        <w:rPr/>
        <w:t xml:space="preserve">mint munkáltató (a továbbiakban: Munkáltató), másrészről</w:t>
      </w:r>
    </w:p>
    <w:tbl>
      <w:tblPr>
        <w:tblW w:w="90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BBBBBB"/>
          <w:insideV w:val="single" w:sz="4" w:color="BBBBBB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6000"/>
      </w:tblGrid>
      <w:tr>
        <w:tc>
          <w:tcPr>
            <w:tcW w:w="3000" w:type="dxa"/>
          </w:tcPr>
          <w:p>
            <w:pPr/>
            <w:r>
              <w:rPr>
                <w:b/>
              </w:rPr>
              <w:t xml:space="preserve">Munkavállaló neve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[név]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Születési hely és idő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[település, év, hónap, nap]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Anyja neve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[név]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Lakcím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[irányítószám, település, utca, házszám]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Adóazonosító jel / TAJ szám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[adóazonosító jel]</w:t>
            </w:r>
            <w:r>
              <w:rPr/>
              <w:t xml:space="preserve"> / </w:t>
            </w:r>
            <w:r>
              <w:rPr>
                <w:highlight w:val="yellow"/>
              </w:rPr>
              <w:t xml:space="preserve">[TAJ szám]</w:t>
            </w:r>
          </w:p>
        </w:tc>
      </w:tr>
    </w:tbl>
    <w:p>
      <w:pPr/>
    </w:p>
    <w:p>
      <w:pPr>
        <w:jc w:val="both"/>
      </w:pPr>
      <w:r>
        <w:rPr/>
        <w:t xml:space="preserve">mint munkavállaló (a továbbiakban: Munkavállaló) között, a munka törvénykönyvéről szóló 2012. évi I. törvény (a továbbiakban: Mt.) alapján, az alábbi feltételekkel.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1. A munkaviszony létesítése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1.1.	</w:t>
      </w:r>
      <w:r>
        <w:rPr/>
        <w:t xml:space="preserve">A felek határozatlan időtartamú munkaviszonyt létesítenek. A munkaviszony kezdő napja: </w:t>
      </w:r>
      <w:r>
        <w:rPr>
          <w:highlight w:val="yellow"/>
        </w:rPr>
        <w:t xml:space="preserve">[év, hónap, nap]</w:t>
      </w:r>
      <w:r>
        <w:rPr/>
        <w:t xml:space="preserve">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2. Munkakör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2.1.	</w:t>
      </w:r>
      <w:r>
        <w:rPr/>
        <w:t xml:space="preserve">A Munkavállaló munkaköre: </w:t>
      </w:r>
      <w:r>
        <w:rPr>
          <w:highlight w:val="yellow"/>
        </w:rPr>
        <w:t xml:space="preserve">[munkakör megnevezése]</w:t>
      </w:r>
      <w:r>
        <w:rPr/>
        <w:t xml:space="preserve"> (FEOR-szám: </w:t>
      </w:r>
      <w:r>
        <w:rPr>
          <w:highlight w:val="yellow"/>
        </w:rPr>
        <w:t xml:space="preserve">[kód]</w:t>
      </w:r>
      <w:r>
        <w:rPr/>
        <w:t xml:space="preserve">).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2.2.	</w:t>
      </w:r>
      <w:r>
        <w:rPr/>
        <w:t xml:space="preserve">A munkakör főbb feladatai: </w:t>
      </w:r>
      <w:r>
        <w:rPr>
          <w:highlight w:val="yellow"/>
        </w:rPr>
        <w:t xml:space="preserve">[rövid feladatleírás]</w:t>
      </w:r>
      <w:r>
        <w:rPr/>
        <w:t xml:space="preserve">. A részletes feladatokat a munkaköri leírás tartalmazza, amelyet a felek a szerződéshez csatolnak.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3. A munkavégzés helye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3.1.	</w:t>
      </w:r>
      <w:r>
        <w:rPr/>
        <w:t xml:space="preserve">A Munkavállaló szokásos munkavégzési helye: </w:t>
      </w:r>
      <w:r>
        <w:rPr>
          <w:highlight w:val="yellow"/>
        </w:rPr>
        <w:t xml:space="preserve">[cím]</w:t>
      </w:r>
      <w:r>
        <w:rPr/>
        <w:t xml:space="preserve">. </w:t>
      </w:r>
      <w:r>
        <w:rPr>
          <w:highlight w:val="yellow"/>
        </w:rPr>
        <w:t xml:space="preserve">[Opcionális: a munkavégzés részben távmunkában, a Munkáltató szabályzata szerint is történhet.]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4. Munkaidő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4.1.	</w:t>
      </w:r>
      <w:r>
        <w:rPr/>
        <w:t xml:space="preserve">A Munkavállaló teljes munkaidőben, heti 40 órában dolgozik. A munkaidő beosztását a Munkáltató állapítja meg: </w:t>
      </w:r>
      <w:r>
        <w:rPr>
          <w:highlight w:val="yellow"/>
        </w:rPr>
        <w:t xml:space="preserve">[pl. hétfőtől péntekig, 8:00 és 16:30 között, napi 30 perc munkaközi szünettel]</w:t>
      </w:r>
      <w:r>
        <w:rPr/>
        <w:t xml:space="preserve">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4.2.	</w:t>
      </w:r>
      <w:r>
        <w:rPr/>
        <w:t xml:space="preserve">A Munkavállaló az Mt. szabályai szerint rendkívüli munkavégzésre kötelezhető, amelyért az Mt. szerinti pótlék vagy szabadidő jár.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5. Alapbér és juttatások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5.1.	</w:t>
      </w:r>
      <w:r>
        <w:rPr/>
        <w:t xml:space="preserve">A Munkavállaló alapbére bruttó </w:t>
      </w:r>
      <w:r>
        <w:rPr>
          <w:highlight w:val="yellow"/>
        </w:rPr>
        <w:t xml:space="preserve">[összeg]</w:t>
      </w:r>
      <w:r>
        <w:rPr/>
        <w:t xml:space="preserve"> Ft havonta.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5.2.	</w:t>
      </w:r>
      <w:r>
        <w:rPr/>
        <w:t xml:space="preserve">A Munkáltató a munkabért a tárgyhónapot követő hónap </w:t>
      </w:r>
      <w:r>
        <w:rPr>
          <w:highlight w:val="yellow"/>
        </w:rPr>
        <w:t xml:space="preserve">[5.]</w:t>
      </w:r>
      <w:r>
        <w:rPr/>
        <w:t xml:space="preserve"> napjáig, a Munkavállaló által megadott bankszámlára utalja. A munkabérből a jogszabály szerinti adókat és járulékokat levonja.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5.3.	</w:t>
      </w:r>
      <w:r>
        <w:rPr>
          <w:highlight w:val="yellow"/>
        </w:rPr>
        <w:t xml:space="preserve">[Opcionális: egyéb juttatások, pl. teljesítményalapú prémium, cafeteria, telefon- vagy útiköltség-térítés, a vonatkozó belső szabályzat szerint.]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6. Próbaidő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6.1.	</w:t>
      </w:r>
      <w:r>
        <w:rPr/>
        <w:t xml:space="preserve">A felek </w:t>
      </w:r>
      <w:r>
        <w:rPr>
          <w:highlight w:val="yellow"/>
        </w:rPr>
        <w:t xml:space="preserve">[30]</w:t>
      </w:r>
      <w:r>
        <w:rPr/>
        <w:t xml:space="preserve"> napos próbaidőt kötnek ki (az Mt. 45. §-a szerint legfeljebb három hónap). A próbaidő alatt bármelyik fél indokolás nélkül, azonnali hatállyal megszüntetheti a munkaviszonyt.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7. Szabadság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7.1.	</w:t>
      </w:r>
      <w:r>
        <w:rPr/>
        <w:t xml:space="preserve">A Munkavállalót évi 20 munkanap alapszabadság illeti meg, amelyhez az Mt. szerinti életkor és gyermekek utáni pótszabadság járhat. A szabadság kiadására az Mt. 122-124. §-ai az irányadók.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8. A munkáltatói jogkör gyakorlása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8.1.	</w:t>
      </w:r>
      <w:r>
        <w:rPr/>
        <w:t xml:space="preserve">A munkáltatói jogokat </w:t>
      </w:r>
      <w:r>
        <w:rPr>
          <w:highlight w:val="yellow"/>
        </w:rPr>
        <w:t xml:space="preserve">[név, beosztás]</w:t>
      </w:r>
      <w:r>
        <w:rPr/>
        <w:t xml:space="preserve"> gyakorolja. A Munkavállaló közvetlen felettese: </w:t>
      </w:r>
      <w:r>
        <w:rPr>
          <w:highlight w:val="yellow"/>
        </w:rPr>
        <w:t xml:space="preserve">[név, beosztás]</w:t>
      </w:r>
      <w:r>
        <w:rPr/>
        <w:t xml:space="preserve">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9. Titoktartás és egyéb kötelezettségek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9.1.	</w:t>
      </w:r>
      <w:r>
        <w:rPr/>
        <w:t xml:space="preserve">A Munkavállaló köteles a munkavégzése során tudomására jutott üzleti titkot és bizalmas információt megőrizni, és azt a munkaviszony megszűnése után is csak a jogszabályok és a Munkáltató engedélye szerint használhatja fel.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9.2.	</w:t>
      </w:r>
      <w:r>
        <w:rPr>
          <w:highlight w:val="yellow"/>
        </w:rPr>
        <w:t xml:space="preserve">[Opcionális: versenytilalmi megállapodás, amelyre az Mt. 228. §-a szerinti feltételek vonatkoznak, így különösen ellenérték fizetése. Ezt külön megállapodásban érdemes rögzíteni.]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10. Adatkezelés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10.1.	</w:t>
      </w:r>
      <w:r>
        <w:rPr/>
        <w:t xml:space="preserve">A Munkáltató a Munkavállaló személyes adatait a munkaviszonnyal összefüggésben, a vonatkozó jogszabályok szerint kezeli. A Munkavállaló a szerződés aláírásával igazolja, hogy a Munkáltató adatkezelési tájékoztatóját átvette.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11. A munkaviszony megszűnése és megszüntetése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11.1.	</w:t>
      </w:r>
      <w:r>
        <w:rPr/>
        <w:t xml:space="preserve">A munkaviszony megszüntetésére az Mt. 64-71. §-ai irányadók. A felmondási idő 30 nap, amely a Munkáltató felmondása esetén az Mt. 69. §-a szerint a munkaviszony időtartamától függően meghosszabbodik.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11.2.	</w:t>
      </w:r>
      <w:r>
        <w:rPr/>
        <w:t xml:space="preserve">A Munkáltató felmondását indokolnia kell, az indoknak valósnak, világosnak és okszerűnek kell lennie (Mt. 64. § (2) bekezdés).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12. Egyéb rendelkezések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12.1.	</w:t>
      </w:r>
      <w:r>
        <w:rPr/>
        <w:t xml:space="preserve">A Munkáltatónál </w:t>
      </w:r>
      <w:r>
        <w:rPr>
          <w:highlight w:val="yellow"/>
        </w:rPr>
        <w:t xml:space="preserve">[nincs]</w:t>
      </w:r>
      <w:r>
        <w:rPr/>
        <w:t xml:space="preserve"> kollektív szerződés. </w:t>
      </w:r>
      <w:r>
        <w:rPr>
          <w:highlight w:val="yellow"/>
        </w:rPr>
        <w:t xml:space="preserve">[Ha van: a kollektív szerződés rendelkezései a Munkavállalóra is vonatkoznak.]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12.2.	</w:t>
      </w:r>
      <w:r>
        <w:rPr/>
        <w:t xml:space="preserve">A jelen szerződésben nem szabályozott kérdésekben az Mt. és a vonatkozó jogszabályok rendelkezései az irányadók. A szerződést a felek elolvasták, értelmezték, és mint akaratukkal mindenben megegyezőt jóváhagyólag aláírták.</w:t>
      </w:r>
    </w:p>
    <w:p>
      <w:pPr>
        <w:jc w:val="both"/>
      </w:pPr>
      <w:r>
        <w:rPr/>
        <w:t xml:space="preserve">Kelt: </w:t>
      </w:r>
      <w:r>
        <w:rPr>
          <w:highlight w:val="yellow"/>
        </w:rPr>
        <w:t xml:space="preserve">[település]</w:t>
      </w:r>
      <w:r>
        <w:rPr/>
        <w:t xml:space="preserve">, </w:t>
      </w:r>
      <w:r>
        <w:rPr>
          <w:highlight w:val="yellow"/>
        </w:rPr>
        <w:t xml:space="preserve">[év, hónap, nap]</w:t>
      </w:r>
    </w:p>
    <w:tbl>
      <w:tblPr>
        <w:tblW w:w="9000" w:type="dxa"/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before="720"/>
            </w:pPr>
          </w:p>
          <w:p>
            <w:pPr>
              <w:jc w:val="center"/>
            </w:pPr>
            <w:r>
              <w:rPr/>
              <w:t xml:space="preserve">____________________________</w:t>
            </w:r>
          </w:p>
          <w:p>
            <w:pPr>
              <w:jc w:val="center"/>
            </w:pPr>
            <w:r>
              <w:rPr/>
              <w:t xml:space="preserve">Munkáltató</w:t>
            </w:r>
          </w:p>
        </w:tc>
        <w:tc>
          <w:tcPr>
            <w:tcW w:w="4500" w:type="dxa"/>
          </w:tcPr>
          <w:p>
            <w:pPr>
              <w:spacing w:before="720"/>
            </w:pPr>
          </w:p>
          <w:p>
            <w:pPr>
              <w:jc w:val="center"/>
            </w:pPr>
            <w:r>
              <w:rPr/>
              <w:t xml:space="preserve">____________________________</w:t>
            </w:r>
          </w:p>
          <w:p>
            <w:pPr>
              <w:jc w:val="center"/>
            </w:pPr>
            <w:r>
              <w:rPr/>
              <w:t xml:space="preserve">Munkavállaló</w:t>
            </w:r>
          </w:p>
        </w:tc>
      </w:tr>
    </w:tbl>
    <w:p>
      <w:pPr/>
    </w:p>
    <w:p>
      <w:r>
        <w:br w:type="page"/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Kitöltési megjegyzések (a végleges szerződésből törölhető)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A munkaszerződés kötelező tartalma az Mt. 45. §-a szerint a személyi alapbér és a munkakör, ezeket mindenképp rögzíteni kell.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A Munkáltatónak a munkaviszony létesítésétől számított 15 napon belül írásban tájékoztatnia kell a munkavállalót az Mt. 46. §-ában felsorolt feltételekről (például a napi munkaidő, a szabadság mértéke, a felmondási idő). A minta ezek nagy részét már tartalmazza.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Határozott idejű munkaviszonynál az 1. pontot módosítani kell, és meg kell adni a határozott idő végét vagy a feltételt. Az Mt. 192. §-a szerint a határozott idő legfeljebb öt év lehet.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Ellenőrizze a munkáltatónál érvényes kollektív szerződést és belső szabályzatokat, mert ezek eltérő szabályokat tartalmazhatnak.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Ellenőrizze az Mt. aktuális szövegét, mert a jogszabályok változhatnak.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hu-HU"/>
      </w:rPr>
    </w:rPrDefault>
    <w:pPrDefault>
      <w:pPr>
        <w:spacing w:after="12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